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DATA PROCESSING ADDENDUM</w:t>
      </w:r>
    </w:p>
    <w:p>
      <w:pPr>
        <w:spacing w:after="200"/>
        <w:jc w:val="center"/>
      </w:pPr>
      <w:r>
        <w:rPr>
          <w:color w:val="808080"/>
          <w:sz w:val="18"/>
          <w:szCs w:val="18"/>
        </w:rPr>
        <w:t xml:space="preserve">Addendum to Agreement {Parent_Agreement_Number__c}</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DATA CONTROLLER</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DATA PROCESSOR</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Parent Agreement</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{Parent_Agreement_Number__c}</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Data Categories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{Data_Categories__c}</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Data Processing Addendum ("DPA") supplements the agreement referenced as {Parent_Agreement_Number__c} between {Account.Name} ("Controller") and {Organization.Name} ("Processor"), and governs the processing of personal data in connection with that agreement.</w:t>
      </w:r>
    </w:p>
    <w:p>
      <w:pPr>
        <w:pBdr>
          <w:bottom w:val="single" w:color="1F3864" w:sz="6" w:space="2"/>
        </w:pBdr>
        <w:spacing w:after="120" w:before="200"/>
      </w:pPr>
      <w:r>
        <w:rPr>
          <w:b/>
          <w:bCs/>
          <w:color w:val="1F3864"/>
          <w:sz w:val="24"/>
          <w:szCs w:val="24"/>
        </w:rPr>
        <w:t xml:space="preserve">1. SUBJECT MATTER &amp; DURATION</w:t>
      </w:r>
    </w:p>
    <w:p>
      <w:pPr>
        <w:spacing w:after="120"/>
      </w:pPr>
      <w:r>
        <w:rPr>
          <w:sz w:val="21"/>
          <w:szCs w:val="21"/>
        </w:rPr>
        <w:t xml:space="preserve">Processor shall process personal data on behalf of Controller for the purpose of {Processing_Purpose__c}, for the duration of the underlying agreement referenced above.</w:t>
      </w:r>
    </w:p>
    <w:p>
      <w:pPr>
        <w:pBdr>
          <w:bottom w:val="single" w:color="1F3864" w:sz="6" w:space="2"/>
        </w:pBdr>
        <w:spacing w:after="120" w:before="200"/>
      </w:pPr>
      <w:r>
        <w:rPr>
          <w:b/>
          <w:bCs/>
          <w:color w:val="1F3864"/>
          <w:sz w:val="24"/>
          <w:szCs w:val="24"/>
        </w:rPr>
        <w:t xml:space="preserve">2. PROCESSOR OBLIGATIONS</w:t>
      </w:r>
    </w:p>
    <w:p>
      <w:pPr>
        <w:spacing w:after="120"/>
      </w:pPr>
      <w:r>
        <w:rPr>
          <w:sz w:val="21"/>
          <w:szCs w:val="21"/>
        </w:rPr>
        <w:t xml:space="preserve">Processor shall process personal data only on documented instructions from Controller, ensure that persons authorized to process the data are subject to confidentiality obligations, and implement appropriate technical and organizational security measures.</w:t>
      </w:r>
    </w:p>
    <w:p>
      <w:pPr>
        <w:pBdr>
          <w:bottom w:val="single" w:color="1F3864" w:sz="6" w:space="2"/>
        </w:pBdr>
        <w:spacing w:after="120" w:before="200"/>
      </w:pPr>
      <w:r>
        <w:rPr>
          <w:b/>
          <w:bCs/>
          <w:color w:val="1F3864"/>
          <w:sz w:val="24"/>
          <w:szCs w:val="24"/>
        </w:rPr>
        <w:t xml:space="preserve">3. SUB-PROCESSING</w:t>
      </w:r>
    </w:p>
    <w:p>
      <w:pPr>
        <w:spacing w:after="120"/>
      </w:pPr>
      <w:r>
        <w:rPr>
          <w:sz w:val="21"/>
          <w:szCs w:val="21"/>
        </w:rPr>
        <w:t xml:space="preserve">Processor may engage the following sub-processors in connection with the processing activities:</w:t>
      </w:r>
    </w:p>
    <w:p>
      <w:pPr>
        <w:spacing w:after="120"/>
      </w:pPr>
      <w:r>
        <w:rPr>
          <w:sz w:val="21"/>
          <w:szCs w:val="21"/>
        </w:rPr>
        <w:t xml:space="preserve">{#Sub_Processors__r}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80"/>
        <w:gridCol w:w="4380"/>
        <w:gridCol w:w="2620"/>
      </w:tblGrid>
      <w:tr>
        <w:trPr>
          <w:tblHeader/>
        </w:trPr>
        <w:tc>
          <w:tcPr>
            <w:tcW w:type="dxa" w:w="308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Sub-Processor</w:t>
            </w:r>
          </w:p>
        </w:tc>
        <w:tc>
          <w:tcPr>
            <w:tcW w:type="dxa" w:w="438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Processing Activity</w:t>
            </w:r>
          </w:p>
        </w:tc>
        <w:tc>
          <w:tcPr>
            <w:tcW w:type="dxa" w:w="262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Location</w:t>
            </w:r>
          </w:p>
        </w:tc>
      </w:tr>
      <w:tr>
        <w:tc>
          <w:tcPr>
            <w:tcW w:type="dxa" w:w="308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{Sub_Processor_Name__c}</w:t>
            </w:r>
          </w:p>
        </w:tc>
        <w:tc>
          <w:tcPr>
            <w:tcW w:type="dxa" w:w="438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{Processing_Activity__c}</w:t>
            </w:r>
          </w:p>
        </w:tc>
        <w:tc>
          <w:tcPr>
            <w:tcW w:type="dxa" w:w="262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{Location__c}</w:t>
            </w:r>
          </w:p>
        </w:tc>
      </w:tr>
    </w:tbl>
    <w:p>
      <w:pPr>
        <w:spacing w:before="40"/>
      </w:pPr>
      <w:r>
        <w:rPr>
          <w:sz w:val="21"/>
          <w:szCs w:val="21"/>
        </w:rPr>
        <w:t xml:space="preserve">{/Sub_Processors__r}</w:t>
      </w:r>
    </w:p>
    <w:p>
      <w:pPr>
        <w:pBdr>
          <w:bottom w:val="single" w:color="1F3864" w:sz="6" w:space="2"/>
        </w:pBdr>
        <w:spacing w:after="120" w:before="200"/>
      </w:pPr>
      <w:r>
        <w:rPr>
          <w:b/>
          <w:bCs/>
          <w:color w:val="1F3864"/>
          <w:sz w:val="24"/>
          <w:szCs w:val="24"/>
        </w:rPr>
        <w:t xml:space="preserve">4. DATA SUBJECT RIGHTS</w:t>
      </w:r>
    </w:p>
    <w:p>
      <w:pPr>
        <w:spacing w:after="120"/>
      </w:pPr>
      <w:r>
        <w:rPr>
          <w:sz w:val="21"/>
          <w:szCs w:val="21"/>
        </w:rPr>
        <w:t xml:space="preserve">Processor shall assist Controller, insofar as reasonably possible, in responding to requests from data subjects seeking to exercise their rights under applicable data protection law.</w:t>
      </w:r>
    </w:p>
    <w:p>
      <w:pPr>
        <w:pBdr>
          <w:bottom w:val="single" w:color="1F3864" w:sz="6" w:space="2"/>
        </w:pBdr>
        <w:spacing w:after="120" w:before="200"/>
      </w:pPr>
      <w:r>
        <w:rPr>
          <w:b/>
          <w:bCs/>
          <w:color w:val="1F3864"/>
          <w:sz w:val="24"/>
          <w:szCs w:val="24"/>
        </w:rPr>
        <w:t xml:space="preserve">5. SECURITY MEASURES</w:t>
      </w:r>
    </w:p>
    <w:p>
      <w:pPr>
        <w:spacing w:after="120"/>
      </w:pPr>
      <w:r>
        <w:rPr>
          <w:sz w:val="21"/>
          <w:szCs w:val="21"/>
        </w:rPr>
        <w:t xml:space="preserve">Processor shall implement and maintain appropriate technical and organizational measures to protect personal data against unauthorized or unlawful processing, accidental loss, destruction, or damage.</w:t>
      </w:r>
    </w:p>
    <w:p>
      <w:pPr>
        <w:pBdr>
          <w:bottom w:val="single" w:color="1F3864" w:sz="6" w:space="2"/>
        </w:pBdr>
        <w:spacing w:after="120" w:before="200"/>
      </w:pPr>
      <w:r>
        <w:rPr>
          <w:b/>
          <w:bCs/>
          <w:color w:val="1F3864"/>
          <w:sz w:val="24"/>
          <w:szCs w:val="24"/>
        </w:rPr>
        <w:t xml:space="preserve">6. INTERNATIONAL TRANSFERS</w:t>
      </w:r>
    </w:p>
    <w:p>
      <w:pPr>
        <w:spacing w:after="120"/>
      </w:pPr>
      <w:r>
        <w:rPr>
          <w:sz w:val="21"/>
          <w:szCs w:val="21"/>
        </w:rPr>
        <w:t xml:space="preserve">Where personal data is transferred outside the jurisdiction in which it was originally collected, Processor shall ensure that such transfer is subject to appropriate safeguards as required by applicable data protection law.</w:t>
      </w:r>
    </w:p>
    <w:p>
      <w:pPr>
        <w:pBdr>
          <w:bottom w:val="single" w:color="1F3864" w:sz="6" w:space="2"/>
        </w:pBdr>
        <w:spacing w:after="120" w:before="200"/>
      </w:pPr>
      <w:r>
        <w:rPr>
          <w:b/>
          <w:bCs/>
          <w:color w:val="1F3864"/>
          <w:sz w:val="24"/>
          <w:szCs w:val="24"/>
        </w:rPr>
        <w:t xml:space="preserve">7. GOVERNING LAW</w:t>
      </w:r>
    </w:p>
    <w:p>
      <w:pPr>
        <w:spacing w:after="120"/>
      </w:pPr>
      <w:r>
        <w:rPr>
          <w:sz w:val="21"/>
          <w:szCs w:val="21"/>
        </w:rPr>
        <w:t xml:space="preserve">This DPA shall be governed by and construed in accordance with the laws of {Account.BillingState}, consistent with the governing law of the underlying agreement.</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DATA CONTROLLER</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DATA PROCESSOR</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Data Processing Addendum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2026-08-20T10:48:54.950Z</dcterms:created>
  <dcterms:modified xsi:type="dcterms:W3CDTF">2026-08-20T10:48:54.950Z</dcterms:modified>
</cp:coreProperties>
</file>

<file path=docProps/custom.xml><?xml version="1.0" encoding="utf-8"?>
<Properties xmlns="http://schemas.openxmlformats.org/officeDocument/2006/custom-properties" xmlns:vt="http://schemas.openxmlformats.org/officeDocument/2006/docPropsVTypes"/>
</file>