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MERGER AGREEMENT</w:t>
      </w:r>
    </w:p>
    <w:p>
      <w:pPr>
        <w:spacing w:after="200"/>
        <w:jc w:val="center"/>
      </w:pPr>
      <w:r>
        <w:rPr>
          <w:color w:val="808080"/>
          <w:sz w:val="18"/>
          <w:szCs w:val="18"/>
        </w:rPr>
        <w:t xml:space="preserve">{Name}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ACQUIRING COMPANY</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TARGET COMPANY</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Merger Consideration</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{Merger_Consideration__c | format:2:'10,000,000.5':'$'}</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Deal Structure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{Deal_Structure__c}</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This Merger Agreement ("Agreement") is entered into as of {StartDate | formatDate:'MMMM DD, YYYY'} by and between {Organization.Name} ("Acquiring Company") and {Account.Name} ("Target Company"), pursuant to which Target Company shall merge with and into Acquiring Company.</w:t>
      </w:r>
    </w:p>
    <w:p>
      <w:pPr>
        <w:pBdr>
          <w:bottom w:val="single" w:color="1F3864" w:sz="6" w:space="2"/>
        </w:pBdr>
        <w:spacing w:after="120" w:before="200"/>
      </w:pPr>
      <w:r>
        <w:rPr>
          <w:b/>
          <w:bCs/>
          <w:color w:val="1F3864"/>
          <w:sz w:val="24"/>
          <w:szCs w:val="24"/>
        </w:rPr>
        <w:t xml:space="preserve">1. THE MERGER</w:t>
      </w:r>
    </w:p>
    <w:p>
      <w:pPr>
        <w:spacing w:after="120"/>
      </w:pPr>
      <w:r>
        <w:rPr>
          <w:sz w:val="21"/>
          <w:szCs w:val="21"/>
        </w:rPr>
        <w:t xml:space="preserve">Subject to the terms and conditions of this Agreement, at the Effective Time, Target Company shall merge with and into Acquiring Company, with Acquiring Company continuing as the surviving entity.</w:t>
      </w:r>
    </w:p>
    <w:p>
      <w:pPr>
        <w:pBdr>
          <w:bottom w:val="single" w:color="1F3864" w:sz="6" w:space="2"/>
        </w:pBdr>
        <w:spacing w:after="120" w:before="200"/>
      </w:pPr>
      <w:r>
        <w:rPr>
          <w:b/>
          <w:bCs/>
          <w:color w:val="1F3864"/>
          <w:sz w:val="24"/>
          <w:szCs w:val="24"/>
        </w:rPr>
        <w:t xml:space="preserve">2. MERGER CONSIDERATION</w:t>
      </w:r>
    </w:p>
    <w:p>
      <w:pPr>
        <w:spacing w:after="120"/>
      </w:pPr>
      <w:r>
        <w:rPr>
          <w:sz w:val="21"/>
          <w:szCs w:val="21"/>
        </w:rPr>
        <w:t xml:space="preserve">{#Deal_Structure__c == "Stock"}</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2E7D32" w:sz="8"/>
              <w:left w:val="single" w:color="2E7D32" w:sz="8"/>
              <w:bottom w:val="single" w:color="2E7D32" w:sz="8"/>
              <w:right w:val="single" w:color="2E7D32" w:sz="8"/>
            </w:tcBorders>
            <w:shd w:fill="EAF6EC" w:val="clear"/>
            <w:tcMar>
              <w:top w:type="dxa" w:w="150"/>
              <w:left w:type="dxa" w:w="200"/>
              <w:bottom w:type="dxa" w:w="150"/>
              <w:right w:type="dxa" w:w="200"/>
            </w:tcMar>
          </w:tcPr>
          <w:p>
            <w:pPr>
              <w:spacing w:after="120"/>
            </w:pPr>
            <w:r>
              <w:rPr>
                <w:sz w:val="21"/>
                <w:szCs w:val="21"/>
              </w:rPr>
              <w:t xml:space="preserve">Shareholders of Target Company shall receive shares of Acquiring Company with an aggregate value of {Merger_Consideration__c | format:2:'10,000,000.5':'$'}, in accordance with the exchange ratio set out in the transaction schedules.</w:t>
            </w:r>
          </w:p>
        </w:tc>
      </w:tr>
    </w:tbl>
    <w:p>
      <w:pPr>
        <w:spacing w:after="120"/>
      </w:pPr>
      <w:r>
        <w:rPr>
          <w:sz w:val="21"/>
          <w:szCs w:val="21"/>
        </w:rPr>
        <w:t xml:space="preserve">{/}</w:t>
      </w:r>
    </w:p>
    <w:p>
      <w:pPr>
        <w:spacing w:after="120"/>
      </w:pPr>
      <w:r>
        <w:rPr>
          <w:sz w:val="21"/>
          <w:szCs w:val="21"/>
        </w:rPr>
        <w:t xml:space="preserve">{^Deal_Structure__c == "Stock"}</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B00020" w:sz="8"/>
              <w:left w:val="single" w:color="B00020" w:sz="8"/>
              <w:bottom w:val="single" w:color="B00020" w:sz="8"/>
              <w:right w:val="single" w:color="B00020" w:sz="8"/>
            </w:tcBorders>
            <w:shd w:fill="FDECEC" w:val="clear"/>
            <w:tcMar>
              <w:top w:type="dxa" w:w="150"/>
              <w:left w:type="dxa" w:w="200"/>
              <w:bottom w:type="dxa" w:w="150"/>
              <w:right w:type="dxa" w:w="200"/>
            </w:tcMar>
          </w:tcPr>
          <w:p>
            <w:pPr>
              <w:spacing w:after="120"/>
            </w:pPr>
            <w:r>
              <w:rPr>
                <w:sz w:val="21"/>
                <w:szCs w:val="21"/>
              </w:rPr>
              <w:t xml:space="preserve">Shareholders of Target Company shall receive cash consideration of {Merger_Consideration__c | format:2:'10,000,000.5':'$'} in the aggregate, payable at Closing in accordance with the payment schedule set out in the transaction schedules.</w:t>
            </w:r>
          </w:p>
        </w:tc>
      </w:tr>
    </w:tbl>
    <w:p>
      <w:pPr>
        <w:spacing w:after="120"/>
      </w:pPr>
      <w:r>
        <w:rPr>
          <w:sz w:val="21"/>
          <w:szCs w:val="21"/>
        </w:rPr>
        <w:t xml:space="preserve">{/}</w:t>
      </w:r>
    </w:p>
    <w:p>
      <w:pPr>
        <w:pBdr>
          <w:bottom w:val="single" w:color="1F3864" w:sz="6" w:space="2"/>
        </w:pBdr>
        <w:spacing w:after="120" w:before="200"/>
      </w:pPr>
      <w:r>
        <w:rPr>
          <w:b/>
          <w:bCs/>
          <w:color w:val="1F3864"/>
          <w:sz w:val="24"/>
          <w:szCs w:val="24"/>
        </w:rPr>
        <w:t xml:space="preserve">3. REPRESENTATIONS &amp; WARRANTIES</w:t>
      </w:r>
    </w:p>
    <w:p>
      <w:pPr>
        <w:spacing w:after="120"/>
      </w:pPr>
      <w:r>
        <w:rPr>
          <w:sz w:val="21"/>
          <w:szCs w:val="21"/>
        </w:rPr>
        <w:t xml:space="preserve">Each Party represents and warrants that it is duly organized and in good standing, has full corporate power and authority to enter into this Agreement, and that its financial statements fairly present its financial condition.</w:t>
      </w:r>
    </w:p>
    <w:p>
      <w:pPr>
        <w:pBdr>
          <w:bottom w:val="single" w:color="1F3864" w:sz="6" w:space="2"/>
        </w:pBdr>
        <w:spacing w:after="120" w:before="200"/>
      </w:pPr>
      <w:r>
        <w:rPr>
          <w:b/>
          <w:bCs/>
          <w:color w:val="1F3864"/>
          <w:sz w:val="24"/>
          <w:szCs w:val="24"/>
        </w:rPr>
        <w:t xml:space="preserve">4. CONDITIONS TO CLOSING</w:t>
      </w:r>
    </w:p>
    <w:p>
      <w:pPr>
        <w:spacing w:after="120"/>
      </w:pPr>
      <w:r>
        <w:rPr>
          <w:sz w:val="21"/>
          <w:szCs w:val="21"/>
        </w:rPr>
        <w:t xml:space="preserve">The obligations of the Parties to consummate the merger are subject to customary closing conditions, including shareholder approval, regulatory clearance, and the absence of any material adverse change.</w:t>
      </w:r>
    </w:p>
    <w:p>
      <w:pPr>
        <w:pBdr>
          <w:bottom w:val="single" w:color="1F3864" w:sz="6" w:space="2"/>
        </w:pBdr>
        <w:spacing w:after="120" w:before="200"/>
      </w:pPr>
      <w:r>
        <w:rPr>
          <w:b/>
          <w:bCs/>
          <w:color w:val="1F3864"/>
          <w:sz w:val="24"/>
          <w:szCs w:val="24"/>
        </w:rPr>
        <w:t xml:space="preserve">5. TERMINATION</w:t>
      </w:r>
    </w:p>
    <w:p>
      <w:pPr>
        <w:spacing w:after="120"/>
      </w:pPr>
      <w:r>
        <w:rPr>
          <w:sz w:val="21"/>
          <w:szCs w:val="21"/>
        </w:rPr>
        <w:t xml:space="preserve">This Agreement may be terminated by mutual written consent of the Parties, or by either Party if the merger has not been consummated by the outside date specified in the transaction schedules.</w:t>
      </w:r>
    </w:p>
    <w:p>
      <w:pPr>
        <w:pBdr>
          <w:bottom w:val="single" w:color="1F3864" w:sz="6" w:space="2"/>
        </w:pBdr>
        <w:spacing w:after="120" w:before="200"/>
      </w:pPr>
      <w:r>
        <w:rPr>
          <w:b/>
          <w:bCs/>
          <w:color w:val="1F3864"/>
          <w:sz w:val="24"/>
          <w:szCs w:val="24"/>
        </w:rPr>
        <w:t xml:space="preserve">6. GOVERNING LAW</w:t>
      </w:r>
    </w:p>
    <w:p>
      <w:pPr>
        <w:spacing w:after="120"/>
      </w:pPr>
      <w:r>
        <w:rPr>
          <w:sz w:val="21"/>
          <w:szCs w:val="21"/>
        </w:rPr>
        <w:t xml:space="preserve">This Agreement shall be governed by and construed in accordance with the laws of {Account.BillingState}.</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ACQUIRING COMPANY</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TARGET COMPANY</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Merger Agreement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2026-08-20T10:48:55.049Z</dcterms:created>
  <dcterms:modified xsi:type="dcterms:W3CDTF">2026-08-20T10:48:55.049Z</dcterms:modified>
</cp:coreProperties>
</file>

<file path=docProps/custom.xml><?xml version="1.0" encoding="utf-8"?>
<Properties xmlns="http://schemas.openxmlformats.org/officeDocument/2006/custom-properties" xmlns:vt="http://schemas.openxmlformats.org/officeDocument/2006/docPropsVTypes"/>
</file>